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534AB7"/>
          <w:spacing w:val="20"/>
          <w:sz w:val="22"/>
          <w:szCs w:val="22"/>
        </w:rPr>
        <w:t xml:space="preserve">HIS PCU PLATFORM</w:t>
      </w:r>
    </w:p>
    <w:p>
      <w:pPr>
        <w:spacing w:after="100"/>
      </w:pPr>
      <w:r>
        <w:rPr>
          <w:b/>
          <w:bCs/>
          <w:color w:val="26215C"/>
          <w:sz w:val="44"/>
          <w:szCs w:val="44"/>
        </w:rPr>
        <w:t xml:space="preserve">Workflow: ขั้นตอนการให้บริการผู้ป่วย</w:t>
      </w:r>
    </w:p>
    <w:p>
      <w:pPr>
        <w:spacing w:after="400"/>
      </w:pPr>
      <w:r>
        <w:rPr>
          <w:color w:val="5F5E5A"/>
          <w:sz w:val="24"/>
          <w:szCs w:val="24"/>
        </w:rPr>
        <w:t xml:space="preserve">ตั้งแต่คัดกรอง จนถึงรับยากลับบ้าน — รวมเส้นทางส่งต่อเมื่อเกินศักยภาพหน่วยบริการ</w:t>
      </w:r>
    </w:p>
    <w:p>
      <w:pPr>
        <w:spacing w:after="140" w:line="300"/>
      </w:pPr>
      <w:r>
        <w:rPr>
          <w:color w:val="2C2C2A"/>
          <w:sz w:val="22"/>
          <w:szCs w:val="22"/>
        </w:rPr>
        <w:t xml:space="preserve">เอกสารนี้อธิบายกระบวนการทำงานจริงของระบบ HIS PCU Platform สำหรับ รพ.สต. ตั้งแต่ผู้ป่วยเข้าสู่ระบบ (walk-in หรือจองนัดล่วงหน้าผ่านแอป) ไปจนถึงขั้นตอนคัดกรอง การประเมินทางคลินิก การพิจารณาของแพทย์ (รวมทั้งกรณีต้องส่งต่อไปหน่วยบริการอื่น) และการรับยากลับบ้าน ทุกขั้นตอนมี AI ช่วยประมวลข้อมูล แต่การตัดสินใจสุดท้ายเป็นของบุคลากรทางการแพทย์เสมอ (human-in-the-loop)</w:t>
      </w:r>
    </w:p>
    <w:p>
      <w:pPr>
        <w:spacing w:after="200"/>
      </w:pPr>
    </w:p>
    <w:p>
      <w:pPr>
        <w:pStyle w:val="Heading1"/>
        <w:pBdr>
          <w:bottom w:val="single" w:color="534AB7" w:sz="6" w:space="6"/>
        </w:pBdr>
        <w:spacing w:after="160" w:before="360"/>
      </w:pPr>
      <w:r>
        <w:rPr>
          <w:b/>
          <w:bCs/>
          <w:color w:val="26215C"/>
          <w:sz w:val="30"/>
          <w:szCs w:val="30"/>
        </w:rPr>
        <w:t xml:space="preserve">1. จุดเริ่มต้น — สองทางเข้าสู่ระบบ</w:t>
      </w:r>
    </w:p>
    <w:p>
      <w:pPr>
        <w:pStyle w:val="Heading2"/>
        <w:spacing w:after="120" w:before="280"/>
      </w:pPr>
      <w:r>
        <w:rPr>
          <w:b/>
          <w:bCs/>
          <w:color w:val="0F6E56"/>
          <w:sz w:val="24"/>
          <w:szCs w:val="24"/>
        </w:rPr>
        <w:t xml:space="preserve">ทางที่ 1: Walk-in (มาที่หน่วยบริการโดยตรง)</w:t>
      </w:r>
    </w:p>
    <w:p>
      <w:pPr>
        <w:spacing w:after="140" w:line="300"/>
      </w:pPr>
      <w:r>
        <w:rPr>
          <w:color w:val="2C2C2A"/>
          <w:sz w:val="22"/>
          <w:szCs w:val="22"/>
        </w:rPr>
        <w:t xml:space="preserve">ผู้ป่วยเปิดแอป PCU patient portal กด "จองคิว" → เลือกสิทธิ์การรักษา (บัตรทอง / ประกันสังคม / ข้าราชการ / ชำระเอง) → ได้เลขคิววันนี้ทันที ไม่ต้องรอเจ้าหน้าที่ลงทะเบียนให้</w:t>
      </w:r>
    </w:p>
    <w:p>
      <w:pPr>
        <w:pStyle w:val="Heading2"/>
        <w:spacing w:after="120" w:before="280"/>
      </w:pPr>
      <w:r>
        <w:rPr>
          <w:b/>
          <w:bCs/>
          <w:color w:val="0F6E56"/>
          <w:sz w:val="24"/>
          <w:szCs w:val="24"/>
        </w:rPr>
        <w:t xml:space="preserve">ทางที่ 2: จองนัดหมายล่วงหน้า</w:t>
      </w:r>
    </w:p>
    <w:p>
      <w:pPr>
        <w:spacing w:after="140" w:line="300"/>
      </w:pPr>
      <w:r>
        <w:rPr>
          <w:color w:val="2C2C2A"/>
          <w:sz w:val="22"/>
          <w:szCs w:val="22"/>
        </w:rPr>
        <w:t xml:space="preserve">ผู้ป่วยกด "จองนัดหมาย" → เลือกหน่วยบริการ → เลือกรูปแบบการเข้ารับบริการ (ที่หน่วยบริการ / ออนไลน์) และคลินิกเฉพาะทาง (เบาหวาน ฝากครรภ์ วางแผนครอบครัว ทันตกรรม ฯลฯ — รพ.สต. หมุนเวียนแพทย์/พยาบาลตามคลินิก ไม่ผูกกับตัวบุคคล) → เลือกวันเวลาจากช่วงที่เจ้าหน้าที่เปิดไว้</w:t>
      </w:r>
    </w:p>
    <w:p>
      <w:pPr>
        <w:spacing w:after="140" w:line="300"/>
      </w:pPr>
      <w:r>
        <w:rPr>
          <w:color w:val="2C2C2A"/>
          <w:sz w:val="22"/>
          <w:szCs w:val="22"/>
        </w:rPr>
        <w:t xml:space="preserve">นัดหมายทุกรายการขึ้นสถานะ "รอยืนยัน" เสมอ ต้องให้เจ้าหน้าที่กดยืนยันที่ระบบก่อน ถึงวันนัดผู้ป่วยกด "เช็คอินรับบัตรคิว" ในแอป ระบบจะออกเลขคิวให้อัตโนมัติ พร้อมนำอาการสำคัญ/ประวัติที่กรอกไว้ตอนจองมาแสดงให้เจ้าหน้าที่ทันที ไม่ต้องถามซ้ำ</w:t>
      </w:r>
    </w:p>
    <w:p>
      <w:pPr>
        <w:spacing w:after="140" w:line="300"/>
      </w:pPr>
      <w:r>
        <w:rPr>
          <w:i/>
          <w:iCs/>
          <w:color w:val="5F5E5A"/>
          <w:sz w:val="22"/>
          <w:szCs w:val="22"/>
        </w:rPr>
        <w:t xml:space="preserve">หากเลือกช่องทาง "ออนไลน์" ตั๋วคิวจะติดสถานะ telemedicine ให้เจ้าหน้าที่ทราบทันทีว่าเคสนี้ต้องใช้วิดีโอคอลแทนการตรวจร่างกาย</w:t>
      </w:r>
    </w:p>
    <w:p>
      <w:pPr>
        <w:spacing w:after="160"/>
      </w:pPr>
    </w:p>
    <w:p>
      <w:pPr>
        <w:pStyle w:val="Heading1"/>
        <w:pBdr>
          <w:bottom w:val="single" w:color="534AB7" w:sz="6" w:space="6"/>
        </w:pBdr>
        <w:spacing w:after="160" w:before="360"/>
      </w:pPr>
      <w:r>
        <w:rPr>
          <w:b/>
          <w:bCs/>
          <w:color w:val="26215C"/>
          <w:sz w:val="30"/>
          <w:szCs w:val="30"/>
        </w:rPr>
        <w:t xml:space="preserve">2. คัดกรอง (Triage) — เจ้าหน้าที่</w:t>
      </w:r>
    </w:p>
    <w:p>
      <w:pPr>
        <w:spacing w:after="140" w:line="300"/>
      </w:pPr>
      <w:r>
        <w:rPr>
          <w:color w:val="2C2C2A"/>
          <w:sz w:val="22"/>
          <w:szCs w:val="22"/>
        </w:rPr>
        <w:t xml:space="preserve">เจ้าหน้าที่เปิดตั๋วคิวเพื่อดึงข้อมูล HN/สิทธิ์การรักษา/อาการสำคัญโดยอัตโนมัติ หากผู้ป่วยเชื่อมต่อบัญชี PHR ไว้กับหน่วยบริการแล้ว ระบบจะดึงชื่อ-นามสกุล ช่วงอายุ และเพศจริงมาเติมให้โดยไม่ต้องพิมพ์ซ้ำ</w:t>
      </w:r>
    </w:p>
    <w:p>
      <w:pPr>
        <w:spacing w:after="140" w:line="300"/>
      </w:pPr>
      <w:r>
        <w:rPr>
          <w:color w:val="2C2C2A"/>
          <w:sz w:val="22"/>
          <w:szCs w:val="22"/>
        </w:rPr>
        <w:t xml:space="preserve">เจ้าหน้าที่วัดสัญญาณชีพ (BP, HR, Temp, DTX, SpO₂) ระบบจะประเมินความเร่งด่วนแบบ rule-based ทันทีที่กรอกครบทุกช่อง (ไม่มีการตั้งค่าดีฟอลต์ ต้องวัดจริงเท่านั้น) จากนั้นกด "ให้ AI ประเมิน Triage" เพื่อยืนยันอีกชั้น แล้วส่งต่อพยาบาล</w:t>
      </w:r>
    </w:p>
    <w:p>
      <w:pPr>
        <w:spacing w:after="160"/>
      </w:pPr>
    </w:p>
    <w:p>
      <w:pPr>
        <w:pStyle w:val="Heading1"/>
        <w:pBdr>
          <w:bottom w:val="single" w:color="534AB7" w:sz="6" w:space="6"/>
        </w:pBdr>
        <w:spacing w:after="160" w:before="360"/>
      </w:pPr>
      <w:r>
        <w:rPr>
          <w:b/>
          <w:bCs/>
          <w:color w:val="26215C"/>
          <w:sz w:val="30"/>
          <w:szCs w:val="30"/>
        </w:rPr>
        <w:t xml:space="preserve">3. Clinical Decision Support — พยาบาลเวชปฏิบัติ</w:t>
      </w:r>
    </w:p>
    <w:p>
      <w:pPr>
        <w:spacing w:after="140" w:line="300"/>
      </w:pPr>
      <w:r>
        <w:rPr>
          <w:color w:val="2C2C2A"/>
          <w:sz w:val="22"/>
          <w:szCs w:val="22"/>
        </w:rPr>
        <w:t xml:space="preserve">พยาบาลรับเคสจากคิว เห็นผล Differential Diagnosis, แนวทางเวชปฏิบัติ (CPG) และผลตรวจ Drug Interaction จาก AI ประกอบการตัดสินใจ กรอก SOAP Note (S/O/A/P) และยืนยันการวินิจฉัย (เลือกจาก AI แนะนำ หรือค้นหารหัส ICD-10 เอง) จากนั้นแยกเป็น 2 เส้นทาง:</w:t>
      </w:r>
    </w:p>
    <w:tbl>
      <w:tblPr>
        <w:tblW w:type="dxa" w:w="935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"/>
        <w:gridCol w:w="9260"/>
      </w:tblGrid>
      <w:tr>
        <w:tc>
          <w:tcPr>
            <w:tcW w:type="dxa" w:w="90"/>
            <w:shd w:fill="0F6E56" w:val="clear"/>
          </w:tcPr>
          <w:p>
            <w:r>
              <w:t xml:space="preserve"/>
            </w:r>
          </w:p>
        </w:tc>
        <w:tc>
          <w:tcPr>
            <w:tcW w:type="dxa" w:w="9260"/>
            <w:shd w:fill="F7F6F2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40"/>
            </w:pPr>
            <w:r>
              <w:rPr>
                <w:b/>
                <w:bCs/>
                <w:color w:val="2C2C2A"/>
                <w:sz w:val="23"/>
                <w:szCs w:val="23"/>
              </w:rPr>
              <w:t xml:space="preserve">ไม่เกินขอบเขต</w:t>
            </w:r>
          </w:p>
          <w:p>
            <w:r>
              <w:rPr>
                <w:color w:val="5F5E5A"/>
                <w:sz w:val="20"/>
                <w:szCs w:val="20"/>
              </w:rPr>
              <w:t xml:space="preserve">พยาบาลเวชปฏิบัติทำ checklist ยืนยันความพร้อม แล้วลงนามปิดเคสได้เอง — ไม่ต้องรอแพทย์</w:t>
            </w:r>
          </w:p>
        </w:tc>
      </w:tr>
    </w:tbl>
    <w:p>
      <w:pPr>
        <w:spacing w:after="80"/>
      </w:pPr>
    </w:p>
    <w:tbl>
      <w:tblPr>
        <w:tblW w:type="dxa" w:w="935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"/>
        <w:gridCol w:w="9260"/>
      </w:tblGrid>
      <w:tr>
        <w:tc>
          <w:tcPr>
            <w:tcW w:type="dxa" w:w="90"/>
            <w:shd w:fill="B8860B" w:val="clear"/>
          </w:tcPr>
          <w:p>
            <w:r>
              <w:t xml:space="preserve"/>
            </w:r>
          </w:p>
        </w:tc>
        <w:tc>
          <w:tcPr>
            <w:tcW w:type="dxa" w:w="9260"/>
            <w:shd w:fill="F7F6F2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40"/>
            </w:pPr>
            <w:r>
              <w:rPr>
                <w:b/>
                <w:bCs/>
                <w:color w:val="2C2C2A"/>
                <w:sz w:val="23"/>
                <w:szCs w:val="23"/>
              </w:rPr>
              <w:t xml:space="preserve">เกินความสามารถ</w:t>
            </w:r>
          </w:p>
          <w:p>
            <w:r>
              <w:rPr>
                <w:color w:val="5F5E5A"/>
                <w:sz w:val="20"/>
                <w:szCs w:val="20"/>
              </w:rPr>
              <w:t xml:space="preserve">กด "เกินความสามารถ → ส่งต่อแพทย์" ได้ทันที ไม่ต้องรอทำ checklist ให้ครบก่อน</w:t>
            </w:r>
          </w:p>
        </w:tc>
      </w:tr>
    </w:tbl>
    <w:p>
      <w:pPr>
        <w:spacing w:after="100"/>
      </w:pPr>
    </w:p>
    <w:p>
      <w:pPr>
        <w:spacing w:after="140" w:line="300"/>
      </w:pPr>
      <w:r>
        <w:rPr>
          <w:i/>
          <w:iCs/>
          <w:color w:val="5F5E5A"/>
          <w:sz w:val="22"/>
          <w:szCs w:val="22"/>
        </w:rPr>
        <w:t xml:space="preserve">หากเป็นเคส telemedicine พยาบาลหรือแพทย์เปิดห้องวิดีโอคอลจากหน้าเดียวกันแทนการตรวจร่างกายจริงได้</w:t>
      </w:r>
    </w:p>
    <w:p>
      <w:pPr>
        <w:spacing w:after="160"/>
      </w:pPr>
    </w:p>
    <w:p>
      <w:pPr>
        <w:pStyle w:val="Heading1"/>
        <w:pBdr>
          <w:bottom w:val="single" w:color="534AB7" w:sz="6" w:space="6"/>
        </w:pBdr>
        <w:spacing w:after="160" w:before="360"/>
      </w:pPr>
      <w:r>
        <w:rPr>
          <w:b/>
          <w:bCs/>
          <w:color w:val="26215C"/>
          <w:sz w:val="30"/>
          <w:szCs w:val="30"/>
        </w:rPr>
        <w:t xml:space="preserve">4. แพทย์ Review &amp; Sign</w:t>
      </w:r>
    </w:p>
    <w:p>
      <w:pPr>
        <w:spacing w:after="140" w:line="300"/>
      </w:pPr>
      <w:r>
        <w:rPr>
          <w:color w:val="2C2C2A"/>
          <w:sz w:val="22"/>
          <w:szCs w:val="22"/>
        </w:rPr>
        <w:t xml:space="preserve">แพทย์ตรวจสอบ SOAP ของพยาบาลซ้ำ พร้อม AI checklist 4 ข้อ (การวินิจฉัย / Drug Interaction / ความครบถ้วนของ SOAP / ความมั่นใจว่าไม่เกินขอบเขต) ระหว่างนี้สั่ง Lab หรือกด "สั่งยา" ให้ Drug Agent ตรวจปฏิกิริยาระหว่างยา ข้อห้ามใช้ และขนาดยาตาม eGFR ให้</w:t>
      </w:r>
    </w:p>
    <w:p>
      <w:pPr>
        <w:spacing w:after="140" w:line="300"/>
      </w:pPr>
      <w:r>
        <w:rPr>
          <w:color w:val="2C2C2A"/>
          <w:sz w:val="22"/>
          <w:szCs w:val="22"/>
        </w:rPr>
        <w:t xml:space="preserve">แพทย์ดูแท็บ "เงื่อนไขส่งต่อ" ซึ่งดึงเกณฑ์จาก CPG ของแต่ละโรคมาแสดง (เช่น "BP ≥180/120 ซ้ำ", "อาการทางระบบประสาทเฉพาะที่") เพื่อประกอบการตัดสินใจว่าจะรักษาต่อที่ รพ.สต. หรือส่งต่อ</w:t>
      </w:r>
    </w:p>
    <w:p>
      <w:pPr>
        <w:pStyle w:val="Heading2"/>
        <w:spacing w:after="120" w:before="280"/>
      </w:pPr>
      <w:r>
        <w:rPr>
          <w:b/>
          <w:bCs/>
          <w:color w:val="0F6E56"/>
          <w:sz w:val="24"/>
          <w:szCs w:val="24"/>
        </w:rPr>
        <w:t xml:space="preserve">ทางปกติ — รักษาที่ รพ.สต. ได้</w:t>
      </w:r>
    </w:p>
    <w:p>
      <w:pPr>
        <w:spacing w:after="140" w:line="300"/>
      </w:pPr>
      <w:r>
        <w:rPr>
          <w:color w:val="2C2C2A"/>
          <w:sz w:val="22"/>
          <w:szCs w:val="22"/>
        </w:rPr>
        <w:t xml:space="preserve">กด "ลงนามยืนยัน" → เคสไปห้องยาตามขั้นตอนที่ 6</w:t>
      </w:r>
    </w:p>
    <w:p>
      <w:pPr>
        <w:pStyle w:val="Heading2"/>
        <w:spacing w:after="120" w:before="280"/>
      </w:pPr>
      <w:r>
        <w:rPr>
          <w:b/>
          <w:bCs/>
          <w:color w:val="B8860B"/>
          <w:sz w:val="24"/>
          <w:szCs w:val="24"/>
        </w:rPr>
        <w:t xml:space="preserve">ทางส่งต่อ — เกินศักยภาพ รพ.สต.</w:t>
      </w:r>
    </w:p>
    <w:p>
      <w:pPr>
        <w:spacing w:after="140" w:line="300"/>
      </w:pPr>
      <w:r>
        <w:rPr>
          <w:color w:val="2C2C2A"/>
          <w:sz w:val="22"/>
          <w:szCs w:val="22"/>
        </w:rPr>
        <w:t xml:space="preserve">เข้าถึงได้เฉพาะแพทย์และผู้ดูแลระบบ (เจ้าหน้าที่/พยาบาลกดไม่ได้) กดได้ทั้งก่อนและหลังลงนาม ระบบสร้าง "แบบสำหรับส่งผู้ป่วยไปรับการตรวจหรือรักษาต่อ" ฉบับทางการ ให้ระบุวัตถุประสงค์และเลือกหน่วยรับ:</w:t>
      </w:r>
    </w:p>
    <w:p>
      <w:pPr>
        <w:spacing w:after="8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rPr>
          <w:tblHeader/>
        </w:trPr>
        <w:tc>
          <w:tcPr>
            <w:tcW w:type="dxa" w:w="4675"/>
            <w:shd w:fill="534AB7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วัตถุประสงค์</w:t>
            </w:r>
          </w:p>
        </w:tc>
        <w:tc>
          <w:tcPr>
            <w:tcW w:type="dxa" w:w="4675"/>
            <w:shd w:fill="534AB7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ความหมาย</w:t>
            </w:r>
          </w:p>
        </w:tc>
      </w:tr>
      <w:tr>
        <w:tc>
          <w:tcPr>
            <w:tcW w:type="dxa" w:w="4675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color w:val="2C2C2A"/>
                <w:sz w:val="20"/>
                <w:szCs w:val="20"/>
              </w:rPr>
              <w:t xml:space="preserve">รับไว้รักษาต่อ</w:t>
            </w:r>
          </w:p>
        </w:tc>
        <w:tc>
          <w:tcPr>
            <w:tcW w:type="dxa" w:w="4675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color w:val="2C2C2A"/>
                <w:sz w:val="20"/>
                <w:szCs w:val="20"/>
              </w:rPr>
              <w:t xml:space="preserve">หน่วยรับดำเนินการรักษาต่อเนื่องทั้งหมด (admit)</w:t>
            </w:r>
          </w:p>
        </w:tc>
      </w:tr>
      <w:tr>
        <w:tc>
          <w:tcPr>
            <w:tcW w:type="dxa" w:w="4675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color w:val="2C2C2A"/>
                <w:sz w:val="20"/>
                <w:szCs w:val="20"/>
              </w:rPr>
              <w:t xml:space="preserve">ตรวจชันสูตร</w:t>
            </w:r>
          </w:p>
        </w:tc>
        <w:tc>
          <w:tcPr>
            <w:tcW w:type="dxa" w:w="4675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color w:val="2C2C2A"/>
                <w:sz w:val="20"/>
                <w:szCs w:val="20"/>
              </w:rPr>
              <w:t xml:space="preserve">ส่งตรวจ Lab/ภาพวินิจฉัยที่ รพ.สต. ไม่มีศักยภาพ แล้วส่งผลกลับ</w:t>
            </w:r>
          </w:p>
        </w:tc>
      </w:tr>
      <w:tr>
        <w:tc>
          <w:tcPr>
            <w:tcW w:type="dxa" w:w="4675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color w:val="2C2C2A"/>
                <w:sz w:val="20"/>
                <w:szCs w:val="20"/>
              </w:rPr>
              <w:t xml:space="preserve">คุมไว้สังเกตุ</w:t>
            </w:r>
          </w:p>
        </w:tc>
        <w:tc>
          <w:tcPr>
            <w:tcW w:type="dxa" w:w="4675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color w:val="2C2C2A"/>
                <w:sz w:val="20"/>
                <w:szCs w:val="20"/>
              </w:rPr>
              <w:t xml:space="preserve">เฝ้าระวังอาการช่วงสั้นก่อนตัดสินใจ</w:t>
            </w:r>
          </w:p>
        </w:tc>
      </w:tr>
      <w:tr>
        <w:tc>
          <w:tcPr>
            <w:tcW w:type="dxa" w:w="4675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color w:val="2C2C2A"/>
                <w:sz w:val="20"/>
                <w:szCs w:val="20"/>
              </w:rPr>
              <w:t xml:space="preserve">ขอทราบผล</w:t>
            </w:r>
          </w:p>
        </w:tc>
        <w:tc>
          <w:tcPr>
            <w:tcW w:type="dxa" w:w="4675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color w:val="2C2C2A"/>
                <w:sz w:val="20"/>
                <w:szCs w:val="20"/>
              </w:rPr>
              <w:t xml:space="preserve">ปรึกษา/ขอความเห็นผู้เชี่ยวชาญ ไม่ได้ส่งตัวไปรักษาถาวร</w:t>
            </w:r>
          </w:p>
        </w:tc>
      </w:tr>
    </w:tbl>
    <w:p>
      <w:pPr>
        <w:spacing w:after="160"/>
      </w:pPr>
    </w:p>
    <w:p>
      <w:pPr>
        <w:spacing w:after="140" w:line="300"/>
      </w:pPr>
      <w:r>
        <w:rPr>
          <w:color w:val="2C2C2A"/>
          <w:sz w:val="22"/>
          <w:szCs w:val="22"/>
        </w:rPr>
        <w:t xml:space="preserve">หน่วยรับเลือกจากเครือข่ายบริการ 4 ระดับ ตามความรุนแรง โดยไม่จำเป็นต้องข้ามระดับตามลำดับ:</w:t>
      </w:r>
    </w:p>
    <w:p>
      <w:pPr>
        <w:spacing w:after="8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37"/>
        <w:gridCol w:w="2337"/>
        <w:gridCol w:w="2337"/>
        <w:gridCol w:w="2339"/>
      </w:tblGrid>
      <w:tr>
        <w:trPr>
          <w:tblHeader/>
        </w:trPr>
        <w:tc>
          <w:tcPr>
            <w:tcW w:type="dxa" w:w="2337"/>
            <w:shd w:fill="B8860B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ระดับ 1</w:t>
            </w:r>
          </w:p>
        </w:tc>
        <w:tc>
          <w:tcPr>
            <w:tcW w:type="dxa" w:w="2337"/>
            <w:shd w:fill="B8860B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ระดับ 2</w:t>
            </w:r>
          </w:p>
        </w:tc>
        <w:tc>
          <w:tcPr>
            <w:tcW w:type="dxa" w:w="2337"/>
            <w:shd w:fill="B8860B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ระดับ 3</w:t>
            </w:r>
          </w:p>
        </w:tc>
        <w:tc>
          <w:tcPr>
            <w:tcW w:type="dxa" w:w="2339"/>
            <w:shd w:fill="B8860B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ระดับ 4</w:t>
            </w:r>
          </w:p>
        </w:tc>
      </w:tr>
      <w:tr>
        <w:tc>
          <w:tcPr>
            <w:tcW w:type="dxa" w:w="2337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2C2C2A"/>
                <w:sz w:val="19"/>
                <w:szCs w:val="19"/>
              </w:rPr>
              <w:t xml:space="preserve">รพ.สต.</w:t>
            </w:r>
          </w:p>
        </w:tc>
        <w:tc>
          <w:tcPr>
            <w:tcW w:type="dxa" w:w="2337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2C2C2A"/>
                <w:sz w:val="19"/>
                <w:szCs w:val="19"/>
              </w:rPr>
              <w:t xml:space="preserve">รพ.ชุมชน</w:t>
            </w:r>
          </w:p>
        </w:tc>
        <w:tc>
          <w:tcPr>
            <w:tcW w:type="dxa" w:w="2337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2C2C2A"/>
                <w:sz w:val="19"/>
                <w:szCs w:val="19"/>
              </w:rPr>
              <w:t xml:space="preserve">รพ.ทั่วไป</w:t>
            </w:r>
          </w:p>
        </w:tc>
        <w:tc>
          <w:tcPr>
            <w:tcW w:type="dxa" w:w="2339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2C2C2A"/>
                <w:sz w:val="19"/>
                <w:szCs w:val="19"/>
              </w:rPr>
              <w:t xml:space="preserve">รพ.ศูนย์เขต</w:t>
            </w:r>
          </w:p>
        </w:tc>
      </w:tr>
      <w:tr>
        <w:tc>
          <w:tcPr>
            <w:tcW w:type="dxa" w:w="2337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2C2C2A"/>
                <w:sz w:val="19"/>
                <w:szCs w:val="19"/>
              </w:rPr>
              <w:t xml:space="preserve">หน่วยต้นทาง</w:t>
            </w:r>
          </w:p>
        </w:tc>
        <w:tc>
          <w:tcPr>
            <w:tcW w:type="dxa" w:w="2337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2C2C2A"/>
                <w:sz w:val="19"/>
                <w:szCs w:val="19"/>
              </w:rPr>
              <w:t xml:space="preserve">Community</w:t>
            </w:r>
          </w:p>
        </w:tc>
        <w:tc>
          <w:tcPr>
            <w:tcW w:type="dxa" w:w="2337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2C2C2A"/>
                <w:sz w:val="19"/>
                <w:szCs w:val="19"/>
              </w:rPr>
              <w:t xml:space="preserve">General</w:t>
            </w:r>
          </w:p>
        </w:tc>
        <w:tc>
          <w:tcPr>
            <w:tcW w:type="dxa" w:w="2339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2C2C2A"/>
                <w:sz w:val="19"/>
                <w:szCs w:val="19"/>
              </w:rPr>
              <w:t xml:space="preserve">Regional Center</w:t>
            </w:r>
          </w:p>
        </w:tc>
      </w:tr>
    </w:tbl>
    <w:p>
      <w:pPr>
        <w:spacing w:after="140"/>
      </w:pPr>
    </w:p>
    <w:p>
      <w:pPr>
        <w:spacing w:after="140" w:line="300"/>
      </w:pPr>
      <w:r>
        <w:rPr>
          <w:i/>
          <w:iCs/>
          <w:color w:val="5F5E5A"/>
          <w:sz w:val="22"/>
          <w:szCs w:val="22"/>
        </w:rPr>
        <w:t xml:space="preserve">เอกสารส่งต่อแนบประวัติ การรักษา และยาที่ให้ไปแล้ว (ถ้ามี) — การรักษา/จ่ายยาต่อเนื่องเกิดขึ้นที่หน่วยรับปลายทาง ไม่ใช่ที่ รพ.สต. ต้นทาง เคสจึงปิดที่นี่โดยไม่ผ่านห้องยาของ รพ.สต. เอง (ยกเว้นมีการปฐมพยาบาล/ให้ยาเบื้องต้นไปแล้วตามที่บันทึกไว้)</w:t>
      </w:r>
    </w:p>
    <w:p>
      <w:pPr>
        <w:spacing w:after="160"/>
      </w:pPr>
    </w:p>
    <w:p>
      <w:pPr>
        <w:pStyle w:val="Heading1"/>
        <w:pBdr>
          <w:bottom w:val="single" w:color="534AB7" w:sz="6" w:space="6"/>
        </w:pBdr>
        <w:spacing w:after="160" w:before="360"/>
      </w:pPr>
      <w:r>
        <w:rPr>
          <w:b/>
          <w:bCs/>
          <w:color w:val="26215C"/>
          <w:sz w:val="30"/>
          <w:szCs w:val="30"/>
        </w:rPr>
        <w:t xml:space="preserve">5. ห้องยา — Dispense (เฉพาะเคสที่ไม่ได้ส่งต่อ)</w:t>
      </w:r>
    </w:p>
    <w:p>
      <w:pPr>
        <w:spacing w:after="140" w:line="300"/>
      </w:pPr>
      <w:r>
        <w:rPr>
          <w:color w:val="2C2C2A"/>
          <w:sz w:val="22"/>
          <w:szCs w:val="22"/>
        </w:rPr>
        <w:t xml:space="preserve">เภสัชกรรับเคสที่ลงนามแล้ว ไม่ว่าจะเป็นเคสที่พยาบาลปิดเอง หรือแพทย์เซ็น ตรวจรายการยาและประวัติแพ้ยาซ้ำอีกชั้นก่อนกด "รับยา" — เคส telemedicine ต้องเลือกวิธีรับยาก่อนเสมอ ระหว่าง "รับเองที่จุดบริการ" หรือ "ส่งผ่าน อสม."</w:t>
      </w:r>
    </w:p>
    <w:p>
      <w:pPr>
        <w:spacing w:after="160"/>
      </w:pPr>
    </w:p>
    <w:p>
      <w:pPr>
        <w:pStyle w:val="Heading1"/>
        <w:pBdr>
          <w:bottom w:val="single" w:color="534AB7" w:sz="6" w:space="6"/>
        </w:pBdr>
        <w:spacing w:after="160" w:before="360"/>
      </w:pPr>
      <w:r>
        <w:rPr>
          <w:b/>
          <w:bCs/>
          <w:color w:val="26215C"/>
          <w:sz w:val="30"/>
          <w:szCs w:val="30"/>
        </w:rPr>
        <w:t xml:space="preserve">6. สิ่งที่ผู้ป่วยเห็นระหว่างนี้ (แอปผู้ป่วย)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color w:val="2C2C2A"/>
          <w:sz w:val="21"/>
          <w:szCs w:val="21"/>
        </w:rPr>
        <w:t xml:space="preserve">สถานะคิวและนัดหมายอัปเดตแบบ real-time ทั้งสองทาง — เจ้าหน้าที่อนุมัติ/ยืนยันอะไร ผู้ป่วยเห็นทันทีในแอปโดยไม่ต้องรีเฟรช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color w:val="2C2C2A"/>
          <w:sz w:val="21"/>
          <w:szCs w:val="21"/>
        </w:rPr>
        <w:t xml:space="preserve">หลังจบการรับบริการ (ไม่ว่าจะจ่ายยาที่ รพ.สต. หรือถูกส่งต่อ) ข้อมูลจะไปปรากฏที่เมนู "บันทึกการตรวจ" / "บันทึกสุขภาพ" ให้ดูย้อนหลังได้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color w:val="2C2C2A"/>
          <w:sz w:val="21"/>
          <w:szCs w:val="21"/>
        </w:rPr>
        <w:t xml:space="preserve">ผู้ป่วยจองนัดครั้งถัดไป หรือติดตามสถานะการส่งต่อ ได้จากเมนูเดียวกัน</w:t>
      </w:r>
    </w:p>
    <w:p>
      <w:pPr>
        <w:spacing w:after="200"/>
      </w:pPr>
    </w:p>
    <w:p>
      <w:pPr>
        <w:pStyle w:val="Heading1"/>
        <w:pBdr>
          <w:bottom w:val="single" w:color="534AB7" w:sz="6" w:space="6"/>
        </w:pBdr>
        <w:spacing w:after="160" w:before="360"/>
      </w:pPr>
      <w:r>
        <w:rPr>
          <w:b/>
          <w:bCs/>
          <w:color w:val="26215C"/>
          <w:sz w:val="30"/>
          <w:szCs w:val="30"/>
        </w:rPr>
        <w:t xml:space="preserve">สรุปภาพรวมกระบวนการ</w:t>
      </w:r>
    </w:p>
    <w:p>
      <w:pPr>
        <w:spacing w:after="140" w:line="300"/>
      </w:pPr>
      <w:r>
        <w:rPr>
          <w:b/>
          <w:bCs/>
          <w:color w:val="2C2C2A"/>
          <w:sz w:val="22"/>
          <w:szCs w:val="22"/>
        </w:rPr>
        <w:t xml:space="preserve">จองคิว/นัดหมาย → เช็คอิน → คัดกรอง (เจ้าหน้าที่) → CDS (พยาบาล) → [ถ้าเกินขอบเขต] แพทย์ Review → [ถ้าเข้าเกณฑ์ส่งต่อ] สร้างเอกสารส่งต่อ → จบที่หน่วยรับ  |  [ถ้ารักษาได้ที่นี่] ลงนามยืนยัน → ห้องยา → กลับบ้าน</w:t>
      </w:r>
    </w:p>
    <w:p>
      <w:pPr>
        <w:spacing w:after="80"/>
      </w:pPr>
    </w:p>
    <w:p>
      <w:pPr>
        <w:spacing w:after="140" w:line="300"/>
      </w:pPr>
      <w:r>
        <w:rPr>
          <w:i/>
          <w:iCs/>
          <w:color w:val="5F5E5A"/>
          <w:sz w:val="22"/>
          <w:szCs w:val="22"/>
        </w:rPr>
        <w:t xml:space="preserve">ทุกจุดตัดสินใจในกระบวนการเป็นของบุคลากร — AI ให้ข้อมูลและคำแนะนำประกอบเท่านั้น ไม่มีขั้นตอนใดที่ระบบตัดสินใจแทนคนโดยลำพัง</w:t>
      </w:r>
    </w:p>
    <w:p>
      <w:pPr>
        <w:spacing w:after="360"/>
      </w:pPr>
    </w:p>
    <w:p>
      <w:pPr>
        <w:pBdr>
          <w:top w:val="single" w:color="D7D2C4" w:sz="4" w:space="8"/>
        </w:pBdr>
      </w:pPr>
      <w:r>
        <w:rPr>
          <w:color w:val="5F5E5A"/>
          <w:sz w:val="17"/>
          <w:szCs w:val="17"/>
        </w:rPr>
        <w:t xml:space="preserve">HIS PCU Platform · hispcu.com</w:t>
      </w:r>
    </w:p>
    <w:sectPr>
      <w:pgSz w:w="11906" w:h="16838" w:orient="portrait"/>
      <w:pgMar w:top="1100" w:right="1300" w:bottom="11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2026-08-30T01:53:04.043Z</dcterms:created>
  <dcterms:modified xsi:type="dcterms:W3CDTF">2026-08-30T01:53:04.045Z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